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0533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LDW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55655" w:rsidRPr="00A55655">
        <w:rPr>
          <w:rFonts w:ascii="Arial" w:hAnsi="Arial" w:cs="Arial"/>
          <w:b/>
          <w:sz w:val="20"/>
          <w:szCs w:val="20"/>
        </w:rPr>
        <w:t>Explanation for the differenc</w:t>
      </w:r>
      <w:r w:rsidR="00A55655">
        <w:rPr>
          <w:rFonts w:ascii="Arial" w:hAnsi="Arial" w:cs="Arial"/>
          <w:b/>
          <w:sz w:val="20"/>
          <w:szCs w:val="20"/>
        </w:rPr>
        <w:t xml:space="preserve">e in financial statement of Q.2/ </w:t>
      </w:r>
      <w:r w:rsidR="00A55655" w:rsidRPr="00A55655">
        <w:rPr>
          <w:rFonts w:ascii="Arial" w:hAnsi="Arial" w:cs="Arial"/>
          <w:b/>
          <w:sz w:val="20"/>
          <w:szCs w:val="20"/>
        </w:rPr>
        <w:t>2020 year on year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55655">
        <w:rPr>
          <w:rFonts w:ascii="Arial" w:hAnsi="Arial" w:cs="Arial"/>
          <w:sz w:val="20"/>
          <w:szCs w:val="20"/>
        </w:rPr>
        <w:t>15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D0533E" w:rsidRPr="00D0533E">
        <w:rPr>
          <w:rFonts w:ascii="Arial" w:hAnsi="Arial" w:cs="Arial"/>
          <w:sz w:val="20"/>
          <w:szCs w:val="20"/>
        </w:rPr>
        <w:t xml:space="preserve">Lam Dong Water </w:t>
      </w:r>
      <w:r w:rsidR="00D0533E">
        <w:rPr>
          <w:rFonts w:ascii="Arial" w:hAnsi="Arial" w:cs="Arial"/>
          <w:sz w:val="20"/>
          <w:szCs w:val="20"/>
        </w:rPr>
        <w:t xml:space="preserve">Supply </w:t>
      </w:r>
      <w:proofErr w:type="gramStart"/>
      <w:r w:rsidR="00D0533E">
        <w:rPr>
          <w:rFonts w:ascii="Arial" w:hAnsi="Arial" w:cs="Arial"/>
          <w:sz w:val="20"/>
          <w:szCs w:val="20"/>
        </w:rPr>
        <w:t>And</w:t>
      </w:r>
      <w:proofErr w:type="gramEnd"/>
      <w:r w:rsidR="00D0533E">
        <w:rPr>
          <w:rFonts w:ascii="Arial" w:hAnsi="Arial" w:cs="Arial"/>
          <w:sz w:val="20"/>
          <w:szCs w:val="20"/>
        </w:rPr>
        <w:t xml:space="preserve"> Sewerage Company Ltd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55655">
        <w:rPr>
          <w:rFonts w:ascii="Arial" w:hAnsi="Arial" w:cs="Arial"/>
          <w:sz w:val="20"/>
          <w:szCs w:val="20"/>
        </w:rPr>
        <w:t>e</w:t>
      </w:r>
      <w:r w:rsidR="00A55655" w:rsidRPr="00A55655">
        <w:rPr>
          <w:rFonts w:ascii="Arial" w:hAnsi="Arial" w:cs="Arial"/>
          <w:sz w:val="20"/>
          <w:szCs w:val="20"/>
        </w:rPr>
        <w:t>xplanation for the differenc</w:t>
      </w:r>
      <w:r w:rsidR="00A55655">
        <w:rPr>
          <w:rFonts w:ascii="Arial" w:hAnsi="Arial" w:cs="Arial"/>
          <w:sz w:val="20"/>
          <w:szCs w:val="20"/>
        </w:rPr>
        <w:t xml:space="preserve">e in financial statement of Q.2/ </w:t>
      </w:r>
      <w:r w:rsidR="00A55655" w:rsidRPr="00A55655">
        <w:rPr>
          <w:rFonts w:ascii="Arial" w:hAnsi="Arial" w:cs="Arial"/>
          <w:sz w:val="20"/>
          <w:szCs w:val="20"/>
        </w:rPr>
        <w:t xml:space="preserve">2020 year on year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0533E" w:rsidRDefault="00D0533E" w:rsidP="00D05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33E">
        <w:rPr>
          <w:rFonts w:ascii="Arial" w:hAnsi="Arial" w:cs="Arial"/>
          <w:sz w:val="20"/>
          <w:szCs w:val="20"/>
        </w:rPr>
        <w:t xml:space="preserve">Lam Dong Water </w:t>
      </w:r>
      <w:r>
        <w:rPr>
          <w:rFonts w:ascii="Arial" w:hAnsi="Arial" w:cs="Arial"/>
          <w:sz w:val="20"/>
          <w:szCs w:val="20"/>
        </w:rPr>
        <w:t xml:space="preserve">Supply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Sewerage Company Ltd </w:t>
      </w:r>
      <w:r w:rsidRPr="00D0533E">
        <w:rPr>
          <w:rFonts w:ascii="Arial" w:hAnsi="Arial" w:cs="Arial"/>
          <w:sz w:val="20"/>
          <w:szCs w:val="20"/>
        </w:rPr>
        <w:t xml:space="preserve">would like to explain </w:t>
      </w:r>
      <w:r w:rsidRPr="00D0533E">
        <w:rPr>
          <w:rFonts w:ascii="Arial" w:hAnsi="Arial" w:cs="Arial"/>
          <w:sz w:val="20"/>
          <w:szCs w:val="20"/>
        </w:rPr>
        <w:t xml:space="preserve">reduction of 19.6% </w:t>
      </w:r>
      <w:r>
        <w:rPr>
          <w:rFonts w:ascii="Arial" w:hAnsi="Arial" w:cs="Arial"/>
          <w:sz w:val="20"/>
          <w:szCs w:val="20"/>
        </w:rPr>
        <w:t xml:space="preserve">in </w:t>
      </w:r>
      <w:r w:rsidRPr="00D0533E">
        <w:rPr>
          <w:rFonts w:ascii="Arial" w:hAnsi="Arial" w:cs="Arial"/>
          <w:sz w:val="20"/>
          <w:szCs w:val="20"/>
        </w:rPr>
        <w:t xml:space="preserve">after-tax profit </w:t>
      </w:r>
      <w:r>
        <w:rPr>
          <w:rFonts w:ascii="Arial" w:hAnsi="Arial" w:cs="Arial"/>
          <w:sz w:val="20"/>
          <w:szCs w:val="20"/>
        </w:rPr>
        <w:t>of Quarter 2/2020 compared to Quarter 2/2019</w:t>
      </w:r>
      <w:r w:rsidRPr="00D0533E">
        <w:rPr>
          <w:rFonts w:ascii="Arial" w:hAnsi="Arial" w:cs="Arial"/>
          <w:sz w:val="20"/>
          <w:szCs w:val="20"/>
        </w:rPr>
        <w:t xml:space="preserve"> as follows: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980"/>
        <w:gridCol w:w="2070"/>
        <w:gridCol w:w="2088"/>
      </w:tblGrid>
      <w:tr w:rsidR="00D0533E" w:rsidTr="00D0533E">
        <w:tc>
          <w:tcPr>
            <w:tcW w:w="3438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80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Q.1/ 2020</w:t>
            </w:r>
          </w:p>
        </w:tc>
        <w:tc>
          <w:tcPr>
            <w:tcW w:w="2070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Q.1/ 2019</w:t>
            </w:r>
          </w:p>
        </w:tc>
        <w:tc>
          <w:tcPr>
            <w:tcW w:w="2088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Increase/ Decrease</w:t>
            </w:r>
          </w:p>
        </w:tc>
      </w:tr>
      <w:tr w:rsidR="00D0533E" w:rsidTr="00D0533E">
        <w:tc>
          <w:tcPr>
            <w:tcW w:w="3438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from selling goods and services</w:t>
            </w:r>
          </w:p>
        </w:tc>
        <w:tc>
          <w:tcPr>
            <w:tcW w:w="1980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57,282,051,120</w:t>
            </w:r>
          </w:p>
        </w:tc>
        <w:tc>
          <w:tcPr>
            <w:tcW w:w="2070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64,454,071,995</w:t>
            </w:r>
          </w:p>
        </w:tc>
        <w:tc>
          <w:tcPr>
            <w:tcW w:w="2088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- 11.13%</w:t>
            </w:r>
          </w:p>
        </w:tc>
      </w:tr>
      <w:tr w:rsidR="00D0533E" w:rsidTr="00D0533E">
        <w:tc>
          <w:tcPr>
            <w:tcW w:w="3438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goods sold</w:t>
            </w:r>
          </w:p>
        </w:tc>
        <w:tc>
          <w:tcPr>
            <w:tcW w:w="1980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49,815,287,462</w:t>
            </w:r>
          </w:p>
        </w:tc>
        <w:tc>
          <w:tcPr>
            <w:tcW w:w="2070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53,122,557,940</w:t>
            </w:r>
          </w:p>
        </w:tc>
        <w:tc>
          <w:tcPr>
            <w:tcW w:w="2088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- 6.23</w:t>
            </w:r>
            <w:r w:rsidRPr="00D0533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0533E" w:rsidTr="00D0533E">
        <w:tc>
          <w:tcPr>
            <w:tcW w:w="3438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80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7,689,296,005</w:t>
            </w:r>
          </w:p>
        </w:tc>
        <w:tc>
          <w:tcPr>
            <w:tcW w:w="2070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9,564,063,797</w:t>
            </w:r>
          </w:p>
        </w:tc>
        <w:tc>
          <w:tcPr>
            <w:tcW w:w="2088" w:type="dxa"/>
          </w:tcPr>
          <w:p w:rsidR="00D0533E" w:rsidRDefault="00D0533E" w:rsidP="00D053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33E">
              <w:rPr>
                <w:rFonts w:ascii="Arial" w:hAnsi="Arial" w:cs="Arial"/>
                <w:sz w:val="20"/>
                <w:szCs w:val="20"/>
              </w:rPr>
              <w:t>- 19.6%</w:t>
            </w:r>
          </w:p>
        </w:tc>
      </w:tr>
    </w:tbl>
    <w:p w:rsidR="00D0533E" w:rsidRDefault="00D0533E" w:rsidP="00D05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533E" w:rsidRPr="00D0533E" w:rsidRDefault="00D0533E" w:rsidP="00D05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33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revenue from selling</w:t>
      </w:r>
      <w:r w:rsidRPr="00D0533E">
        <w:rPr>
          <w:rFonts w:ascii="Arial" w:hAnsi="Arial" w:cs="Arial"/>
          <w:sz w:val="20"/>
          <w:szCs w:val="20"/>
        </w:rPr>
        <w:t xml:space="preserve"> goods and ser</w:t>
      </w:r>
      <w:r>
        <w:rPr>
          <w:rFonts w:ascii="Arial" w:hAnsi="Arial" w:cs="Arial"/>
          <w:sz w:val="20"/>
          <w:szCs w:val="20"/>
        </w:rPr>
        <w:t>vices decreased by 11.13% because</w:t>
      </w:r>
      <w:r w:rsidRPr="00D0533E">
        <w:rPr>
          <w:rFonts w:ascii="Arial" w:hAnsi="Arial" w:cs="Arial"/>
          <w:sz w:val="20"/>
          <w:szCs w:val="20"/>
        </w:rPr>
        <w:t xml:space="preserve"> Lam Dong Water </w:t>
      </w:r>
      <w:r>
        <w:rPr>
          <w:rFonts w:ascii="Arial" w:hAnsi="Arial" w:cs="Arial"/>
          <w:sz w:val="20"/>
          <w:szCs w:val="20"/>
        </w:rPr>
        <w:t>Supply And Sewerage Company Ltd offered</w:t>
      </w:r>
      <w:r w:rsidRPr="00D0533E">
        <w:rPr>
          <w:rFonts w:ascii="Arial" w:hAnsi="Arial" w:cs="Arial"/>
          <w:sz w:val="20"/>
          <w:szCs w:val="20"/>
        </w:rPr>
        <w:t xml:space="preserve"> a 10% discount </w:t>
      </w:r>
      <w:r>
        <w:rPr>
          <w:rFonts w:ascii="Arial" w:hAnsi="Arial" w:cs="Arial"/>
          <w:sz w:val="20"/>
          <w:szCs w:val="20"/>
        </w:rPr>
        <w:t>in the water bill for the period 04, 05, 06</w:t>
      </w:r>
      <w:r w:rsidRPr="00D0533E">
        <w:rPr>
          <w:rFonts w:ascii="Arial" w:hAnsi="Arial" w:cs="Arial"/>
          <w:sz w:val="20"/>
          <w:szCs w:val="20"/>
        </w:rPr>
        <w:t>/ 2020</w:t>
      </w:r>
      <w:r w:rsidR="00444190">
        <w:rPr>
          <w:rFonts w:ascii="Arial" w:hAnsi="Arial" w:cs="Arial"/>
          <w:sz w:val="20"/>
          <w:szCs w:val="20"/>
        </w:rPr>
        <w:t xml:space="preserve"> on the water bill of the 6th period of </w:t>
      </w:r>
      <w:r w:rsidRPr="00D0533E">
        <w:rPr>
          <w:rFonts w:ascii="Arial" w:hAnsi="Arial" w:cs="Arial"/>
          <w:sz w:val="20"/>
          <w:szCs w:val="20"/>
        </w:rPr>
        <w:t>2020 for customers who use water for domestic purposes, material production and service business according to Re</w:t>
      </w:r>
      <w:r w:rsidR="00444190">
        <w:rPr>
          <w:rFonts w:ascii="Arial" w:hAnsi="Arial" w:cs="Arial"/>
          <w:sz w:val="20"/>
          <w:szCs w:val="20"/>
        </w:rPr>
        <w:t>solution No.41/2020/</w:t>
      </w:r>
      <w:r w:rsidRPr="00D0533E">
        <w:rPr>
          <w:rFonts w:ascii="Arial" w:hAnsi="Arial" w:cs="Arial"/>
          <w:sz w:val="20"/>
          <w:szCs w:val="20"/>
        </w:rPr>
        <w:t>NQ -  CP dated Apr</w:t>
      </w:r>
      <w:r w:rsidR="00444190">
        <w:rPr>
          <w:rFonts w:ascii="Arial" w:hAnsi="Arial" w:cs="Arial"/>
          <w:sz w:val="20"/>
          <w:szCs w:val="20"/>
        </w:rPr>
        <w:t xml:space="preserve">il 8, 2020 of the Government about </w:t>
      </w:r>
      <w:r w:rsidRPr="00D0533E">
        <w:rPr>
          <w:rFonts w:ascii="Arial" w:hAnsi="Arial" w:cs="Arial"/>
          <w:sz w:val="20"/>
          <w:szCs w:val="20"/>
        </w:rPr>
        <w:t>the Prime Minister's request to the Ministry of Industry and Trade to presid</w:t>
      </w:r>
      <w:r w:rsidR="00444190">
        <w:rPr>
          <w:rFonts w:ascii="Arial" w:hAnsi="Arial" w:cs="Arial"/>
          <w:sz w:val="20"/>
          <w:szCs w:val="20"/>
        </w:rPr>
        <w:t>e over the implementation of</w:t>
      </w:r>
      <w:r w:rsidRPr="00D0533E">
        <w:rPr>
          <w:rFonts w:ascii="Arial" w:hAnsi="Arial" w:cs="Arial"/>
          <w:sz w:val="20"/>
          <w:szCs w:val="20"/>
        </w:rPr>
        <w:t xml:space="preserve"> reduction of </w:t>
      </w:r>
      <w:r w:rsidR="00444190">
        <w:rPr>
          <w:rFonts w:ascii="Arial" w:hAnsi="Arial" w:cs="Arial"/>
          <w:sz w:val="20"/>
          <w:szCs w:val="20"/>
        </w:rPr>
        <w:t>power</w:t>
      </w:r>
      <w:r w:rsidRPr="00D0533E">
        <w:rPr>
          <w:rFonts w:ascii="Arial" w:hAnsi="Arial" w:cs="Arial"/>
          <w:sz w:val="20"/>
          <w:szCs w:val="20"/>
        </w:rPr>
        <w:t xml:space="preserve"> price</w:t>
      </w:r>
      <w:r w:rsidR="00444190">
        <w:rPr>
          <w:rFonts w:ascii="Arial" w:hAnsi="Arial" w:cs="Arial"/>
          <w:sz w:val="20"/>
          <w:szCs w:val="20"/>
        </w:rPr>
        <w:t xml:space="preserve"> and power</w:t>
      </w:r>
      <w:r w:rsidRPr="00D0533E">
        <w:rPr>
          <w:rFonts w:ascii="Arial" w:hAnsi="Arial" w:cs="Arial"/>
          <w:sz w:val="20"/>
          <w:szCs w:val="20"/>
        </w:rPr>
        <w:t xml:space="preserve"> charges for </w:t>
      </w:r>
      <w:r w:rsidR="00444190">
        <w:rPr>
          <w:rFonts w:ascii="Arial" w:hAnsi="Arial" w:cs="Arial"/>
          <w:sz w:val="20"/>
          <w:szCs w:val="20"/>
        </w:rPr>
        <w:t>power</w:t>
      </w:r>
      <w:r w:rsidRPr="00D0533E">
        <w:rPr>
          <w:rFonts w:ascii="Arial" w:hAnsi="Arial" w:cs="Arial"/>
          <w:sz w:val="20"/>
          <w:szCs w:val="20"/>
        </w:rPr>
        <w:t xml:space="preserve"> users as proposed by the Min</w:t>
      </w:r>
      <w:r w:rsidR="00444190">
        <w:rPr>
          <w:rFonts w:ascii="Arial" w:hAnsi="Arial" w:cs="Arial"/>
          <w:sz w:val="20"/>
          <w:szCs w:val="20"/>
        </w:rPr>
        <w:t xml:space="preserve">istry of Industry and Trade in </w:t>
      </w:r>
      <w:r w:rsidRPr="00D0533E">
        <w:rPr>
          <w:rFonts w:ascii="Arial" w:hAnsi="Arial" w:cs="Arial"/>
          <w:sz w:val="20"/>
          <w:szCs w:val="20"/>
        </w:rPr>
        <w:t>Report No. 22</w:t>
      </w:r>
      <w:r w:rsidR="00444190">
        <w:rPr>
          <w:rFonts w:ascii="Arial" w:hAnsi="Arial" w:cs="Arial"/>
          <w:sz w:val="20"/>
          <w:szCs w:val="20"/>
        </w:rPr>
        <w:t>/</w:t>
      </w:r>
      <w:r w:rsidRPr="00D0533E">
        <w:rPr>
          <w:rFonts w:ascii="Arial" w:hAnsi="Arial" w:cs="Arial"/>
          <w:sz w:val="20"/>
          <w:szCs w:val="20"/>
        </w:rPr>
        <w:t xml:space="preserve">BC - BTC dated  </w:t>
      </w:r>
      <w:r w:rsidR="00444190">
        <w:rPr>
          <w:rFonts w:ascii="Arial" w:hAnsi="Arial" w:cs="Arial"/>
          <w:sz w:val="20"/>
          <w:szCs w:val="20"/>
        </w:rPr>
        <w:t xml:space="preserve">04 Jan </w:t>
      </w:r>
      <w:r w:rsidRPr="00D0533E">
        <w:rPr>
          <w:rFonts w:ascii="Arial" w:hAnsi="Arial" w:cs="Arial"/>
          <w:sz w:val="20"/>
          <w:szCs w:val="20"/>
        </w:rPr>
        <w:t>20</w:t>
      </w:r>
      <w:r w:rsidR="00444190">
        <w:rPr>
          <w:rFonts w:ascii="Arial" w:hAnsi="Arial" w:cs="Arial"/>
          <w:sz w:val="20"/>
          <w:szCs w:val="20"/>
        </w:rPr>
        <w:t>20 and according to Document No.</w:t>
      </w:r>
      <w:r w:rsidRPr="00D0533E">
        <w:rPr>
          <w:rFonts w:ascii="Arial" w:hAnsi="Arial" w:cs="Arial"/>
          <w:sz w:val="20"/>
          <w:szCs w:val="20"/>
        </w:rPr>
        <w:t>786</w:t>
      </w:r>
      <w:r w:rsidR="00444190">
        <w:rPr>
          <w:rFonts w:ascii="Arial" w:hAnsi="Arial" w:cs="Arial"/>
          <w:sz w:val="20"/>
          <w:szCs w:val="20"/>
        </w:rPr>
        <w:t>/</w:t>
      </w:r>
      <w:r w:rsidRPr="00D0533E">
        <w:rPr>
          <w:rFonts w:ascii="Arial" w:hAnsi="Arial" w:cs="Arial"/>
          <w:sz w:val="20"/>
          <w:szCs w:val="20"/>
        </w:rPr>
        <w:t xml:space="preserve">STC - GCS dated </w:t>
      </w:r>
      <w:r w:rsidR="00444190">
        <w:rPr>
          <w:rFonts w:ascii="Arial" w:hAnsi="Arial" w:cs="Arial"/>
          <w:sz w:val="20"/>
          <w:szCs w:val="20"/>
        </w:rPr>
        <w:t>10 Apr 2020</w:t>
      </w:r>
      <w:r w:rsidRPr="00D0533E">
        <w:rPr>
          <w:rFonts w:ascii="Arial" w:hAnsi="Arial" w:cs="Arial"/>
          <w:sz w:val="20"/>
          <w:szCs w:val="20"/>
        </w:rPr>
        <w:t xml:space="preserve"> of the Department of Finance on reviewing, adjusting the price of domestic water during the time of </w:t>
      </w:r>
      <w:proofErr w:type="spellStart"/>
      <w:r w:rsidRPr="00D0533E">
        <w:rPr>
          <w:rFonts w:ascii="Arial" w:hAnsi="Arial" w:cs="Arial"/>
          <w:sz w:val="20"/>
          <w:szCs w:val="20"/>
        </w:rPr>
        <w:t>Covid</w:t>
      </w:r>
      <w:proofErr w:type="spellEnd"/>
      <w:r w:rsidRPr="00D0533E">
        <w:rPr>
          <w:rFonts w:ascii="Arial" w:hAnsi="Arial" w:cs="Arial"/>
          <w:sz w:val="20"/>
          <w:szCs w:val="20"/>
        </w:rPr>
        <w:t xml:space="preserve"> </w:t>
      </w:r>
      <w:r w:rsidR="00444190">
        <w:rPr>
          <w:rFonts w:ascii="Arial" w:hAnsi="Arial" w:cs="Arial"/>
          <w:sz w:val="20"/>
          <w:szCs w:val="20"/>
        </w:rPr>
        <w:t>-19 epidemic</w:t>
      </w:r>
      <w:bookmarkStart w:id="0" w:name="_GoBack"/>
      <w:bookmarkEnd w:id="0"/>
    </w:p>
    <w:sectPr w:rsidR="00D0533E" w:rsidRPr="00D0533E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4190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3716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655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533E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02545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E46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363</cp:revision>
  <dcterms:created xsi:type="dcterms:W3CDTF">2019-10-16T10:03:00Z</dcterms:created>
  <dcterms:modified xsi:type="dcterms:W3CDTF">2020-07-19T10:51:00Z</dcterms:modified>
</cp:coreProperties>
</file>